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6C6D0" w14:textId="77777777" w:rsidR="001B710F" w:rsidRDefault="008412F3">
      <w:pPr>
        <w:pStyle w:val="Title"/>
      </w:pPr>
      <w:r>
        <w:t>Neuro-Inclusive Teaching Toolkit</w:t>
      </w:r>
    </w:p>
    <w:p w14:paraId="6D149DD0" w14:textId="5A6C3F80" w:rsidR="001B710F" w:rsidRDefault="008412F3" w:rsidP="00180811">
      <w:pPr>
        <w:pStyle w:val="Heading2"/>
      </w:pPr>
      <w:r>
        <w:t>Practical strategies for designing accessible, inclusive, and effective higher education.</w:t>
      </w:r>
      <w:r>
        <w:br/>
      </w:r>
      <w:r>
        <w:t>What is Neurodiversity?</w:t>
      </w:r>
    </w:p>
    <w:p w14:paraId="4AF73643" w14:textId="77777777" w:rsidR="001B710F" w:rsidRDefault="008412F3">
      <w:r>
        <w:t>N</w:t>
      </w:r>
      <w:r>
        <w:t>eurodiversity refers to natural variations in how people think, learn, and process information, including ADHD, autism, dyslexia, and dyspraxia. Around 15–20% of the population may be neurodivergent.</w:t>
      </w:r>
    </w:p>
    <w:p w14:paraId="08E9925E" w14:textId="77777777" w:rsidR="001B710F" w:rsidRDefault="008412F3">
      <w:pPr>
        <w:pStyle w:val="Heading1"/>
      </w:pPr>
      <w:r>
        <w:t>Why Neuro-Inclusive Design Matters</w:t>
      </w:r>
    </w:p>
    <w:p w14:paraId="03A0D474" w14:textId="77777777" w:rsidR="001B710F" w:rsidRDefault="008412F3">
      <w:r>
        <w:t>Neurodivergent students may experience challenges with attention, information overload, communication, and navigating digital learning environments.</w:t>
      </w:r>
    </w:p>
    <w:p w14:paraId="4C031160" w14:textId="77777777" w:rsidR="001B710F" w:rsidRDefault="008412F3">
      <w:pPr>
        <w:pStyle w:val="Heading1"/>
      </w:pPr>
      <w:r>
        <w:t>Understanding Barriers</w:t>
      </w:r>
    </w:p>
    <w:p w14:paraId="2CBE624C" w14:textId="77777777" w:rsidR="001B710F" w:rsidRDefault="008412F3">
      <w:r>
        <w:t>Cognitive: attention, memory, processing</w:t>
      </w:r>
      <w:r>
        <w:br/>
        <w:t>Instructional: course structure, materials, LMS design</w:t>
      </w:r>
      <w:r>
        <w:br/>
        <w:t>Social: stigma, confidence, support</w:t>
      </w:r>
    </w:p>
    <w:p w14:paraId="1ECDCFF5" w14:textId="77777777" w:rsidR="001B710F" w:rsidRDefault="008412F3">
      <w:pPr>
        <w:pStyle w:val="Heading1"/>
      </w:pPr>
      <w:r>
        <w:t>Key Strategies</w:t>
      </w:r>
    </w:p>
    <w:p w14:paraId="58AFB561" w14:textId="77777777" w:rsidR="001B710F" w:rsidRDefault="008412F3">
      <w:r>
        <w:t>- Reduce cognitive load</w:t>
      </w:r>
      <w:r>
        <w:br/>
        <w:t>- Use consistent structure</w:t>
      </w:r>
      <w:r>
        <w:br/>
        <w:t>- Provide clear navigation</w:t>
      </w:r>
      <w:r>
        <w:br/>
        <w:t>- Break tasks into steps</w:t>
      </w:r>
      <w:r>
        <w:br/>
        <w:t>- Offer multiple formats</w:t>
      </w:r>
      <w:r>
        <w:br/>
        <w:t>- Use assistive technologies</w:t>
      </w:r>
    </w:p>
    <w:p w14:paraId="67CE4019" w14:textId="77777777" w:rsidR="001B710F" w:rsidRDefault="008412F3">
      <w:pPr>
        <w:pStyle w:val="Heading1"/>
      </w:pPr>
      <w:r>
        <w:t>Inclusive Assessment</w:t>
      </w:r>
    </w:p>
    <w:p w14:paraId="6E7DF491" w14:textId="77777777" w:rsidR="001B710F" w:rsidRDefault="008412F3">
      <w:r>
        <w:t>U</w:t>
      </w:r>
      <w:r>
        <w:t>se clear criteria, staged submissions, flexible formats, and examples.</w:t>
      </w:r>
    </w:p>
    <w:p w14:paraId="711C57AF" w14:textId="77777777" w:rsidR="001B710F" w:rsidRDefault="008412F3">
      <w:pPr>
        <w:pStyle w:val="Heading1"/>
      </w:pPr>
      <w:r>
        <w:t>AI as an Inclusion Tool</w:t>
      </w:r>
    </w:p>
    <w:p w14:paraId="675CBBE6" w14:textId="77777777" w:rsidR="001B710F" w:rsidRDefault="008412F3">
      <w:r>
        <w:t>AI can support educators and students by simplifying content, organising tasks, and aiding revision.</w:t>
      </w:r>
    </w:p>
    <w:p w14:paraId="26F9144B" w14:textId="292C6D26" w:rsidR="001B710F" w:rsidRDefault="00180811">
      <w:r>
        <w:t xml:space="preserve">Note: </w:t>
      </w:r>
      <w:r w:rsidR="008412F3">
        <w:t>These strategies are informed by findings from the British Council–funded project 'Fostering Education Inclusion: Strengthening Accessibility and Support for Students with Disabilities in Higher Education'.</w:t>
      </w:r>
    </w:p>
    <w:sectPr w:rsidR="001B710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63915135">
    <w:abstractNumId w:val="8"/>
  </w:num>
  <w:num w:numId="2" w16cid:durableId="1340549211">
    <w:abstractNumId w:val="6"/>
  </w:num>
  <w:num w:numId="3" w16cid:durableId="938486784">
    <w:abstractNumId w:val="5"/>
  </w:num>
  <w:num w:numId="4" w16cid:durableId="238295812">
    <w:abstractNumId w:val="4"/>
  </w:num>
  <w:num w:numId="5" w16cid:durableId="1582062705">
    <w:abstractNumId w:val="7"/>
  </w:num>
  <w:num w:numId="6" w16cid:durableId="828525309">
    <w:abstractNumId w:val="3"/>
  </w:num>
  <w:num w:numId="7" w16cid:durableId="756248296">
    <w:abstractNumId w:val="2"/>
  </w:num>
  <w:num w:numId="8" w16cid:durableId="917638478">
    <w:abstractNumId w:val="1"/>
  </w:num>
  <w:num w:numId="9" w16cid:durableId="687635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0811"/>
    <w:rsid w:val="001B710F"/>
    <w:rsid w:val="0029639D"/>
    <w:rsid w:val="00326F90"/>
    <w:rsid w:val="004655C3"/>
    <w:rsid w:val="008412F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3E2FCA"/>
  <w14:defaultImageDpi w14:val="300"/>
  <w15:docId w15:val="{998D3DD3-FC60-4D5B-B3FA-6DDBE492E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Seemab Farooqi (Staff)</cp:lastModifiedBy>
  <cp:revision>2</cp:revision>
  <dcterms:created xsi:type="dcterms:W3CDTF">2026-04-30T23:08:00Z</dcterms:created>
  <dcterms:modified xsi:type="dcterms:W3CDTF">2026-04-30T23:08:00Z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2026-04-30T23:08:18Z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1f23db38-20d4-455a-a9a7-00e061b39402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</Properties>
</file>